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2C44" w14:textId="4AFD402C" w:rsidR="00600E34" w:rsidRDefault="00525EFD" w:rsidP="00600E34">
      <w:pPr>
        <w:pStyle w:val="Heading3"/>
        <w:rPr>
          <w:b/>
          <w:bCs/>
        </w:rPr>
      </w:pPr>
      <w:r w:rsidRPr="00175A5C">
        <w:rPr>
          <w:b/>
          <w:bCs/>
        </w:rPr>
        <w:t>Guidance 1</w:t>
      </w:r>
      <w:r w:rsidR="00EB0286">
        <w:rPr>
          <w:b/>
          <w:bCs/>
        </w:rPr>
        <w:t>0</w:t>
      </w:r>
      <w:r w:rsidRPr="00175A5C">
        <w:rPr>
          <w:b/>
          <w:bCs/>
        </w:rPr>
        <w:t>b</w:t>
      </w:r>
      <w:r w:rsidR="00600E34" w:rsidRPr="00175A5C">
        <w:rPr>
          <w:b/>
          <w:bCs/>
        </w:rPr>
        <w:t>: Best practices for quantitative climate risk materiality assessment</w:t>
      </w:r>
    </w:p>
    <w:p w14:paraId="7804D802" w14:textId="77777777" w:rsidR="00112E5E" w:rsidRPr="00112E5E" w:rsidRDefault="00112E5E" w:rsidP="00112E5E"/>
    <w:p w14:paraId="0B7E1AA0" w14:textId="315DB3BC" w:rsidR="00600E34" w:rsidRPr="008B5D85" w:rsidRDefault="00600E34" w:rsidP="00600E34">
      <w:r w:rsidRPr="008B5D85">
        <w:rPr>
          <w:lang w:val="en-US"/>
        </w:rPr>
        <w:t xml:space="preserve">Advanced materiality quantification techniques </w:t>
      </w:r>
      <w:r w:rsidR="005E210A">
        <w:rPr>
          <w:lang w:val="en-US"/>
        </w:rPr>
        <w:t>often use</w:t>
      </w:r>
      <w:r w:rsidR="005E210A" w:rsidRPr="008B5D85">
        <w:rPr>
          <w:lang w:val="en-US"/>
        </w:rPr>
        <w:t xml:space="preserve"> </w:t>
      </w:r>
      <w:r w:rsidRPr="008B5D85">
        <w:rPr>
          <w:lang w:val="en-US"/>
        </w:rPr>
        <w:t xml:space="preserve">scenario-based modelling, integration with existing risk tools, and </w:t>
      </w:r>
      <w:r w:rsidR="005E210A">
        <w:rPr>
          <w:lang w:val="en-US"/>
        </w:rPr>
        <w:t xml:space="preserve">multiple </w:t>
      </w:r>
      <w:r w:rsidRPr="008B5D85">
        <w:rPr>
          <w:lang w:val="en-US"/>
        </w:rPr>
        <w:t>data inputs</w:t>
      </w:r>
      <w:r w:rsidR="005E210A">
        <w:rPr>
          <w:lang w:val="en-US"/>
        </w:rPr>
        <w:t xml:space="preserve">, such as </w:t>
      </w:r>
      <w:r w:rsidRPr="008B5D85">
        <w:rPr>
          <w:lang w:val="en-US"/>
        </w:rPr>
        <w:t xml:space="preserve">physical and transition risk </w:t>
      </w:r>
      <w:r w:rsidR="005E210A">
        <w:rPr>
          <w:lang w:val="en-US"/>
        </w:rPr>
        <w:t>factors</w:t>
      </w:r>
      <w:r w:rsidRPr="008B5D85">
        <w:rPr>
          <w:lang w:val="en-US"/>
        </w:rPr>
        <w:t xml:space="preserve">, emissions data and sector-specific </w:t>
      </w:r>
      <w:r w:rsidR="005E210A">
        <w:rPr>
          <w:lang w:val="en-US"/>
        </w:rPr>
        <w:t>insights</w:t>
      </w:r>
      <w:r w:rsidRPr="008B5D85">
        <w:rPr>
          <w:lang w:val="en-US"/>
        </w:rPr>
        <w:t>.</w:t>
      </w:r>
    </w:p>
    <w:p w14:paraId="272B7674" w14:textId="77777777" w:rsidR="00112E5E" w:rsidRDefault="00112E5E" w:rsidP="00600E34">
      <w:pPr>
        <w:rPr>
          <w:lang w:val="en-US"/>
        </w:rPr>
      </w:pPr>
    </w:p>
    <w:p w14:paraId="710B0994" w14:textId="12216BA6" w:rsidR="00600E34" w:rsidRPr="008B5D85" w:rsidRDefault="00600E34" w:rsidP="00600E34">
      <w:r w:rsidRPr="008B5D85">
        <w:rPr>
          <w:lang w:val="en-US"/>
        </w:rPr>
        <w:t xml:space="preserve">Best practice approaches are transparent </w:t>
      </w:r>
      <w:r w:rsidR="00CF64BA">
        <w:rPr>
          <w:lang w:val="en-US"/>
        </w:rPr>
        <w:t>about</w:t>
      </w:r>
      <w:r w:rsidR="00CF64BA" w:rsidRPr="008B5D85">
        <w:rPr>
          <w:lang w:val="en-US"/>
        </w:rPr>
        <w:t xml:space="preserve"> </w:t>
      </w:r>
      <w:r w:rsidRPr="008B5D85">
        <w:rPr>
          <w:lang w:val="en-US"/>
        </w:rPr>
        <w:t xml:space="preserve">their assumptions, sensitivity </w:t>
      </w:r>
      <w:r w:rsidR="00CF64BA" w:rsidRPr="008B5D85">
        <w:rPr>
          <w:lang w:val="en-US"/>
        </w:rPr>
        <w:t>analys</w:t>
      </w:r>
      <w:r w:rsidR="00CF64BA">
        <w:rPr>
          <w:lang w:val="en-US"/>
        </w:rPr>
        <w:t>e</w:t>
      </w:r>
      <w:r w:rsidR="00CF64BA" w:rsidRPr="008B5D85">
        <w:rPr>
          <w:lang w:val="en-US"/>
        </w:rPr>
        <w:t>s</w:t>
      </w:r>
      <w:r w:rsidRPr="008B5D85">
        <w:rPr>
          <w:lang w:val="en-US"/>
        </w:rPr>
        <w:t xml:space="preserve">, calibration </w:t>
      </w:r>
      <w:r w:rsidR="00CF64BA">
        <w:rPr>
          <w:lang w:val="en-US"/>
        </w:rPr>
        <w:t xml:space="preserve">methods </w:t>
      </w:r>
      <w:r w:rsidRPr="008B5D85">
        <w:rPr>
          <w:lang w:val="en-US"/>
        </w:rPr>
        <w:t>and alignment with regulatory</w:t>
      </w:r>
      <w:r w:rsidR="00CF64BA">
        <w:rPr>
          <w:lang w:val="en-US"/>
        </w:rPr>
        <w:t xml:space="preserve"> and </w:t>
      </w:r>
      <w:r w:rsidRPr="008B5D85">
        <w:rPr>
          <w:lang w:val="en-US"/>
        </w:rPr>
        <w:t xml:space="preserve">compliance expectations. </w:t>
      </w:r>
    </w:p>
    <w:p w14:paraId="4F7B548C" w14:textId="77777777" w:rsidR="00600E34" w:rsidRDefault="00600E34" w:rsidP="00600E34">
      <w:pPr>
        <w:rPr>
          <w:lang w:val="en-US"/>
        </w:rPr>
      </w:pPr>
    </w:p>
    <w:p w14:paraId="49675A59" w14:textId="77777777" w:rsidR="00600E34" w:rsidRPr="008B5D85" w:rsidRDefault="00600E34" w:rsidP="00600E34">
      <w:r w:rsidRPr="008B5D85">
        <w:rPr>
          <w:lang w:val="en-US"/>
        </w:rPr>
        <w:t>The following metrics are typically used for climate risk quantification:</w:t>
      </w:r>
    </w:p>
    <w:p w14:paraId="1D01D9DB" w14:textId="4F1C3CF8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  <w:lang w:val="en-US"/>
        </w:rPr>
        <w:t>Climate Value at Risk (CVaR)</w:t>
      </w:r>
      <w:r w:rsidRPr="008B5D85">
        <w:rPr>
          <w:lang w:val="en-US"/>
        </w:rPr>
        <w:t xml:space="preserve"> – </w:t>
      </w:r>
      <w:r w:rsidR="00F934DC">
        <w:rPr>
          <w:lang w:val="en-US"/>
        </w:rPr>
        <w:t>A</w:t>
      </w:r>
      <w:r w:rsidR="003860D0">
        <w:rPr>
          <w:lang w:val="en-US"/>
        </w:rPr>
        <w:t xml:space="preserve"> key</w:t>
      </w:r>
      <w:r w:rsidR="003860D0" w:rsidRPr="008B5D85">
        <w:rPr>
          <w:lang w:val="en-US"/>
        </w:rPr>
        <w:t xml:space="preserve"> </w:t>
      </w:r>
      <w:r w:rsidRPr="008B5D85">
        <w:rPr>
          <w:lang w:val="en-US"/>
        </w:rPr>
        <w:t>metric for</w:t>
      </w:r>
      <w:r w:rsidR="003860D0">
        <w:rPr>
          <w:lang w:val="en-US"/>
        </w:rPr>
        <w:t xml:space="preserve"> estimating potential </w:t>
      </w:r>
      <w:r w:rsidRPr="008B5D85">
        <w:rPr>
          <w:lang w:val="en-US"/>
        </w:rPr>
        <w:t xml:space="preserve">climate-related losses at </w:t>
      </w:r>
      <w:r w:rsidR="003860D0">
        <w:rPr>
          <w:lang w:val="en-US"/>
        </w:rPr>
        <w:t xml:space="preserve">the </w:t>
      </w:r>
      <w:r w:rsidRPr="008B5D85">
        <w:rPr>
          <w:lang w:val="en-US"/>
        </w:rPr>
        <w:t>transaction, portfolio and enterprise level. It measures the expected loss, beyond a specified quantile (</w:t>
      </w:r>
      <w:r w:rsidR="00F934DC">
        <w:rPr>
          <w:lang w:val="en-US"/>
        </w:rPr>
        <w:t xml:space="preserve">for example, </w:t>
      </w:r>
      <w:r w:rsidRPr="008B5D85">
        <w:rPr>
          <w:lang w:val="en-US"/>
        </w:rPr>
        <w:t>95</w:t>
      </w:r>
      <w:r w:rsidR="00F934DC">
        <w:rPr>
          <w:lang w:val="en-US"/>
        </w:rPr>
        <w:t xml:space="preserve"> per cent</w:t>
      </w:r>
      <w:r w:rsidRPr="008B5D85">
        <w:rPr>
          <w:lang w:val="en-US"/>
        </w:rPr>
        <w:t xml:space="preserve">), attributable to climate risks over a defined horizon under </w:t>
      </w:r>
      <w:r w:rsidR="00F934DC">
        <w:rPr>
          <w:lang w:val="en-US"/>
        </w:rPr>
        <w:t>specific</w:t>
      </w:r>
      <w:r w:rsidR="00F934DC" w:rsidRPr="008B5D85">
        <w:rPr>
          <w:lang w:val="en-US"/>
        </w:rPr>
        <w:t xml:space="preserve"> </w:t>
      </w:r>
      <w:r w:rsidRPr="008B5D85">
        <w:rPr>
          <w:lang w:val="en-US"/>
        </w:rPr>
        <w:t xml:space="preserve">scenarios. Simpler approaches </w:t>
      </w:r>
      <w:r w:rsidR="00F934DC">
        <w:rPr>
          <w:lang w:val="en-US"/>
        </w:rPr>
        <w:t>provide broader</w:t>
      </w:r>
      <w:r w:rsidR="00F934DC" w:rsidRPr="008B5D85">
        <w:rPr>
          <w:lang w:val="en-US"/>
        </w:rPr>
        <w:t xml:space="preserve"> </w:t>
      </w:r>
      <w:r w:rsidRPr="008B5D85">
        <w:rPr>
          <w:lang w:val="en-US"/>
        </w:rPr>
        <w:t>quantile-based loss estimates</w:t>
      </w:r>
      <w:r w:rsidR="00F934DC">
        <w:rPr>
          <w:lang w:val="en-US"/>
        </w:rPr>
        <w:t>, while more advanced</w:t>
      </w:r>
      <w:r w:rsidRPr="008B5D85">
        <w:rPr>
          <w:lang w:val="en-US"/>
        </w:rPr>
        <w:t xml:space="preserve"> approaches </w:t>
      </w:r>
      <w:r w:rsidR="00F934DC">
        <w:rPr>
          <w:lang w:val="en-US"/>
        </w:rPr>
        <w:t>also attempt to</w:t>
      </w:r>
      <w:r w:rsidRPr="008B5D85">
        <w:rPr>
          <w:lang w:val="en-US"/>
        </w:rPr>
        <w:t xml:space="preserve"> capture</w:t>
      </w:r>
      <w:r w:rsidR="00F934DC">
        <w:rPr>
          <w:lang w:val="en-US"/>
        </w:rPr>
        <w:t xml:space="preserve"> extreme</w:t>
      </w:r>
      <w:r w:rsidRPr="008B5D85">
        <w:rPr>
          <w:lang w:val="en-US"/>
        </w:rPr>
        <w:t xml:space="preserve"> </w:t>
      </w:r>
      <w:r w:rsidR="00F934DC">
        <w:rPr>
          <w:lang w:val="en-US"/>
        </w:rPr>
        <w:t>‘</w:t>
      </w:r>
      <w:r w:rsidRPr="008B5D85">
        <w:rPr>
          <w:lang w:val="en-US"/>
        </w:rPr>
        <w:t>tail risk</w:t>
      </w:r>
      <w:r w:rsidR="00F934DC">
        <w:rPr>
          <w:lang w:val="en-US"/>
        </w:rPr>
        <w:t>’</w:t>
      </w:r>
      <w:r w:rsidRPr="008B5D85">
        <w:rPr>
          <w:lang w:val="en-US"/>
        </w:rPr>
        <w:t xml:space="preserve"> </w:t>
      </w:r>
      <w:r w:rsidR="00F934DC">
        <w:rPr>
          <w:lang w:val="en-US"/>
        </w:rPr>
        <w:t>events</w:t>
      </w:r>
      <w:r w:rsidRPr="008B5D85">
        <w:rPr>
          <w:lang w:val="en-US"/>
        </w:rPr>
        <w:t>.</w:t>
      </w:r>
    </w:p>
    <w:p w14:paraId="6B0F7202" w14:textId="228132C8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  <w:lang w:val="en-US"/>
        </w:rPr>
        <w:t>Expected Shortfall</w:t>
      </w:r>
      <w:r w:rsidRPr="008B5D85">
        <w:rPr>
          <w:lang w:val="en-US"/>
        </w:rPr>
        <w:t xml:space="preserve"> – </w:t>
      </w:r>
      <w:r w:rsidR="00F934DC">
        <w:rPr>
          <w:lang w:val="en-US"/>
        </w:rPr>
        <w:t>T</w:t>
      </w:r>
      <w:r w:rsidR="00F934DC" w:rsidRPr="008B5D85">
        <w:rPr>
          <w:lang w:val="en-US"/>
        </w:rPr>
        <w:t xml:space="preserve">he </w:t>
      </w:r>
      <w:r w:rsidRPr="008B5D85">
        <w:rPr>
          <w:lang w:val="en-US"/>
        </w:rPr>
        <w:t xml:space="preserve">average of </w:t>
      </w:r>
      <w:r w:rsidR="00F934DC">
        <w:rPr>
          <w:lang w:val="en-US"/>
        </w:rPr>
        <w:t xml:space="preserve">the most severe </w:t>
      </w:r>
      <w:r w:rsidRPr="008B5D85">
        <w:rPr>
          <w:lang w:val="en-US"/>
        </w:rPr>
        <w:t>losses beyond a given confidence level</w:t>
      </w:r>
      <w:r w:rsidR="00F934DC">
        <w:rPr>
          <w:lang w:val="en-US"/>
        </w:rPr>
        <w:t>.</w:t>
      </w:r>
    </w:p>
    <w:p w14:paraId="4A95B38F" w14:textId="429B49D4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  <w:lang w:val="en-US"/>
        </w:rPr>
        <w:t>Stress Loss</w:t>
      </w:r>
      <w:r w:rsidRPr="008B5D85">
        <w:rPr>
          <w:lang w:val="en-US"/>
        </w:rPr>
        <w:t xml:space="preserve"> – </w:t>
      </w:r>
      <w:r w:rsidR="00F934DC">
        <w:rPr>
          <w:lang w:val="en-US"/>
        </w:rPr>
        <w:t>P</w:t>
      </w:r>
      <w:r w:rsidR="00F934DC" w:rsidRPr="008B5D85">
        <w:rPr>
          <w:lang w:val="en-US"/>
        </w:rPr>
        <w:t xml:space="preserve">rojected </w:t>
      </w:r>
      <w:r w:rsidRPr="008B5D85">
        <w:rPr>
          <w:lang w:val="en-US"/>
        </w:rPr>
        <w:t xml:space="preserve">loss under a </w:t>
      </w:r>
      <w:r w:rsidR="00F934DC">
        <w:rPr>
          <w:lang w:val="en-US"/>
        </w:rPr>
        <w:t>defined</w:t>
      </w:r>
      <w:r w:rsidR="00F934DC" w:rsidRPr="008B5D85">
        <w:rPr>
          <w:lang w:val="en-US"/>
        </w:rPr>
        <w:t xml:space="preserve"> </w:t>
      </w:r>
      <w:r w:rsidRPr="008B5D85">
        <w:rPr>
          <w:lang w:val="en-US"/>
        </w:rPr>
        <w:t>scenario</w:t>
      </w:r>
      <w:r w:rsidR="00F934DC">
        <w:rPr>
          <w:lang w:val="en-US"/>
        </w:rPr>
        <w:t xml:space="preserve">, such as </w:t>
      </w:r>
      <w:r w:rsidRPr="008B5D85">
        <w:rPr>
          <w:lang w:val="en-US"/>
        </w:rPr>
        <w:t xml:space="preserve">real estate losses from a </w:t>
      </w:r>
      <w:r w:rsidR="00F934DC">
        <w:rPr>
          <w:lang w:val="en-US"/>
        </w:rPr>
        <w:t xml:space="preserve">major </w:t>
      </w:r>
      <w:r w:rsidRPr="008B5D85">
        <w:rPr>
          <w:lang w:val="en-US"/>
        </w:rPr>
        <w:t>coastal flood</w:t>
      </w:r>
      <w:r w:rsidR="00F934DC">
        <w:rPr>
          <w:lang w:val="en-US"/>
        </w:rPr>
        <w:t>.</w:t>
      </w:r>
    </w:p>
    <w:p w14:paraId="6C163FF3" w14:textId="02F00B7E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</w:rPr>
        <w:t>Exposure at Risk</w:t>
      </w:r>
      <w:r w:rsidRPr="008B5D85">
        <w:t xml:space="preserve"> – </w:t>
      </w:r>
      <w:r w:rsidR="00F934DC">
        <w:t>T</w:t>
      </w:r>
      <w:r w:rsidRPr="008B5D85">
        <w:t>he value of assets</w:t>
      </w:r>
      <w:r w:rsidR="00F934DC">
        <w:t xml:space="preserve"> or </w:t>
      </w:r>
      <w:r w:rsidRPr="008B5D85">
        <w:t xml:space="preserve">business lines at risk of material impairment or stranded asset status under </w:t>
      </w:r>
      <w:r w:rsidR="00F934DC">
        <w:t xml:space="preserve">certain </w:t>
      </w:r>
      <w:r w:rsidRPr="008B5D85">
        <w:t>climate scenarios</w:t>
      </w:r>
      <w:r w:rsidR="00F934DC">
        <w:t>.</w:t>
      </w:r>
    </w:p>
    <w:p w14:paraId="2CA046AA" w14:textId="598AB08F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</w:rPr>
        <w:t>Implied Temperature Rise</w:t>
      </w:r>
      <w:r w:rsidRPr="008B5D85">
        <w:t xml:space="preserve"> – </w:t>
      </w:r>
      <w:r w:rsidR="00F934DC">
        <w:t>A p</w:t>
      </w:r>
      <w:r w:rsidR="00F934DC" w:rsidRPr="008B5D85">
        <w:t>ortfolio</w:t>
      </w:r>
      <w:r w:rsidRPr="008B5D85">
        <w:t xml:space="preserve">-level metric </w:t>
      </w:r>
      <w:r w:rsidR="00F934DC">
        <w:t xml:space="preserve">showing how closely the portfolio aligns </w:t>
      </w:r>
      <w:r w:rsidRPr="008B5D85">
        <w:t>with global climate targets</w:t>
      </w:r>
      <w:r w:rsidR="00F934DC">
        <w:t>.</w:t>
      </w:r>
    </w:p>
    <w:p w14:paraId="1BC3A520" w14:textId="6444A890" w:rsidR="00600E34" w:rsidRPr="008B5D85" w:rsidRDefault="00600E34" w:rsidP="00600E34">
      <w:pPr>
        <w:numPr>
          <w:ilvl w:val="1"/>
          <w:numId w:val="1"/>
        </w:numPr>
      </w:pPr>
      <w:r w:rsidRPr="00F44567">
        <w:rPr>
          <w:b/>
          <w:bCs/>
        </w:rPr>
        <w:t>Financed Emissions over Time</w:t>
      </w:r>
      <w:r w:rsidRPr="008B5D85">
        <w:t xml:space="preserve"> – </w:t>
      </w:r>
      <w:r w:rsidR="00F934DC">
        <w:t xml:space="preserve">Tracking </w:t>
      </w:r>
      <w:r w:rsidRPr="008B5D85">
        <w:t xml:space="preserve">the financed emissions footprint across </w:t>
      </w:r>
      <w:r w:rsidR="00F934DC">
        <w:t xml:space="preserve">different </w:t>
      </w:r>
      <w:r w:rsidRPr="008B5D85">
        <w:t xml:space="preserve">sectoral decarbonisation </w:t>
      </w:r>
      <w:r w:rsidR="00F934DC">
        <w:t xml:space="preserve">scenarios, including those that fall short of </w:t>
      </w:r>
      <w:r w:rsidRPr="008B5D85">
        <w:t>expected</w:t>
      </w:r>
      <w:r w:rsidR="00F934DC">
        <w:t xml:space="preserve"> </w:t>
      </w:r>
      <w:r w:rsidRPr="008B5D85">
        <w:t>decarbonisation progress</w:t>
      </w:r>
      <w:r w:rsidR="00F934DC">
        <w:t>.</w:t>
      </w:r>
    </w:p>
    <w:p w14:paraId="3BA28D66" w14:textId="77777777" w:rsidR="00600E34" w:rsidRDefault="00600E34" w:rsidP="00600E34"/>
    <w:p w14:paraId="453BFF50" w14:textId="77777777" w:rsidR="00175A5C" w:rsidRDefault="00175A5C">
      <w:pPr>
        <w:autoSpaceDN/>
        <w:spacing w:after="160" w:line="278" w:lineRule="auto"/>
        <w:textAlignment w:val="auto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6617548C" w14:textId="764EB9D4" w:rsidR="00600E34" w:rsidRDefault="00600E34" w:rsidP="00600E34">
      <w:pPr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One approach to calculate CvaR (for Advanced FIs only)</w:t>
      </w:r>
    </w:p>
    <w:p w14:paraId="28137E8A" w14:textId="7BD5D36E" w:rsidR="00600E34" w:rsidRPr="0055444E" w:rsidRDefault="00600E34" w:rsidP="00600E34">
      <w:r w:rsidRPr="0055444E">
        <w:t xml:space="preserve">There is no single, universal formula for CVaR as its calculation often depends on </w:t>
      </w:r>
      <w:r w:rsidR="00BB42A6">
        <w:t xml:space="preserve">the chosen </w:t>
      </w:r>
      <w:r w:rsidRPr="0055444E">
        <w:t>methodolog</w:t>
      </w:r>
      <w:r w:rsidR="00BB42A6">
        <w:t>y</w:t>
      </w:r>
      <w:r w:rsidRPr="0055444E">
        <w:t xml:space="preserve"> and the </w:t>
      </w:r>
      <w:r w:rsidR="00BB42A6">
        <w:t xml:space="preserve">characteristics of the </w:t>
      </w:r>
      <w:r w:rsidRPr="0055444E">
        <w:t>asset</w:t>
      </w:r>
      <w:r w:rsidR="00BB42A6">
        <w:t xml:space="preserve"> or </w:t>
      </w:r>
      <w:r w:rsidRPr="0055444E">
        <w:t>client being assessed.</w:t>
      </w:r>
    </w:p>
    <w:p w14:paraId="0EEA3B65" w14:textId="77777777" w:rsidR="00600E34" w:rsidRDefault="00600E34" w:rsidP="00600E34"/>
    <w:p w14:paraId="4AF53B34" w14:textId="77777777" w:rsidR="00600E34" w:rsidRDefault="00600E34" w:rsidP="00600E34">
      <w:pPr>
        <w:rPr>
          <w:lang w:val="en-US"/>
        </w:rPr>
      </w:pPr>
      <w:r w:rsidRPr="0055444E">
        <w:t>However, in the simplest implementation, CVaR can be approximated as:</w:t>
      </w:r>
      <w:r w:rsidRPr="0055444E">
        <w:br/>
      </w:r>
      <m:oMathPara>
        <m:oMathParaPr>
          <m:jc m:val="centerGroup"/>
        </m:oMathParaPr>
        <m:oMath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(Present value of climate scenario impact)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(Current enterprise value)</m:t>
              </m:r>
            </m:den>
          </m:f>
          <m:r>
            <m:rPr>
              <m:sty m:val="p"/>
            </m:rPr>
            <w:rPr>
              <w:lang w:val="en-US"/>
            </w:rPr>
            <w:br/>
          </m:r>
        </m:oMath>
      </m:oMathPara>
      <w:r w:rsidRPr="0055444E">
        <w:rPr>
          <w:lang w:val="en-US"/>
        </w:rPr>
        <w:t>where:</w:t>
      </w:r>
    </w:p>
    <w:p w14:paraId="3CED057E" w14:textId="5D0CC74D" w:rsidR="00600E34" w:rsidRPr="00AE4FDA" w:rsidRDefault="00600E34" w:rsidP="00600E34">
      <w:pPr>
        <w:pStyle w:val="ListParagraph"/>
        <w:numPr>
          <w:ilvl w:val="0"/>
          <w:numId w:val="2"/>
        </w:numPr>
        <w:rPr>
          <w:i/>
          <w:iCs/>
        </w:rPr>
      </w:pPr>
      <w:r w:rsidRPr="00AE4FDA">
        <w:rPr>
          <w:i/>
          <w:iCs/>
          <w:lang w:val="en-US"/>
        </w:rPr>
        <w:t>Present value of climate scenario impact (PV) refers to the discounted sum of future climate-related costs</w:t>
      </w:r>
      <w:r w:rsidR="00642A31">
        <w:rPr>
          <w:i/>
          <w:iCs/>
          <w:lang w:val="en-US"/>
        </w:rPr>
        <w:t>,</w:t>
      </w:r>
      <w:r w:rsidRPr="00AE4FDA">
        <w:rPr>
          <w:i/>
          <w:iCs/>
          <w:lang w:val="en-US"/>
        </w:rPr>
        <w:t xml:space="preserve"> or profits</w:t>
      </w:r>
      <w:r w:rsidR="00642A31">
        <w:rPr>
          <w:i/>
          <w:iCs/>
          <w:lang w:val="en-US"/>
        </w:rPr>
        <w:t>,</w:t>
      </w:r>
      <w:r w:rsidRPr="00AE4FDA">
        <w:rPr>
          <w:i/>
          <w:iCs/>
          <w:lang w:val="en-US"/>
        </w:rPr>
        <w:t xml:space="preserve"> estimated under a given scenario, relative to a baseline estimate, and</w:t>
      </w:r>
    </w:p>
    <w:p w14:paraId="6BF8972D" w14:textId="6A8C16D8" w:rsidR="00600E34" w:rsidRPr="00AE4FDA" w:rsidRDefault="00600E34" w:rsidP="00600E34">
      <w:pPr>
        <w:pStyle w:val="ListParagraph"/>
        <w:numPr>
          <w:ilvl w:val="0"/>
          <w:numId w:val="2"/>
        </w:numPr>
        <w:rPr>
          <w:i/>
          <w:iCs/>
        </w:rPr>
      </w:pPr>
      <w:r w:rsidRPr="00AE4FDA">
        <w:rPr>
          <w:i/>
          <w:iCs/>
          <w:lang w:val="en-US"/>
        </w:rPr>
        <w:t>Current enterprise value (EV) refers to the sum of market value of equity and debt</w:t>
      </w:r>
      <w:r w:rsidR="00642A31">
        <w:rPr>
          <w:i/>
          <w:iCs/>
          <w:lang w:val="en-US"/>
        </w:rPr>
        <w:t>.</w:t>
      </w:r>
    </w:p>
    <w:p w14:paraId="3ACC8279" w14:textId="77777777" w:rsidR="00600E34" w:rsidRDefault="00600E34" w:rsidP="00600E34">
      <w:pPr>
        <w:rPr>
          <w:lang w:val="en-US"/>
        </w:rPr>
      </w:pPr>
    </w:p>
    <w:p w14:paraId="52B62FCD" w14:textId="77777777" w:rsidR="00600E34" w:rsidRPr="0055444E" w:rsidRDefault="00600E34" w:rsidP="00600E34">
      <w:r w:rsidRPr="0055444E">
        <w:rPr>
          <w:lang w:val="en-US"/>
        </w:rPr>
        <w:t>To calculate PV:</w:t>
      </w:r>
    </w:p>
    <w:p w14:paraId="3254AF21" w14:textId="0C95863B" w:rsidR="00600E34" w:rsidRPr="0055444E" w:rsidRDefault="00600E34" w:rsidP="00600E34">
      <w:pPr>
        <w:numPr>
          <w:ilvl w:val="0"/>
          <w:numId w:val="3"/>
        </w:numPr>
      </w:pPr>
      <w:proofErr w:type="gramStart"/>
      <w:r w:rsidRPr="0055444E">
        <w:rPr>
          <w:lang w:val="en-US"/>
        </w:rPr>
        <w:t>First</w:t>
      </w:r>
      <w:proofErr w:type="gramEnd"/>
      <w:r w:rsidRPr="0055444E">
        <w:rPr>
          <w:lang w:val="en-US"/>
        </w:rPr>
        <w:t xml:space="preserve"> compute the annual incremental negative</w:t>
      </w:r>
      <w:r w:rsidR="00642A31">
        <w:rPr>
          <w:lang w:val="en-US"/>
        </w:rPr>
        <w:t xml:space="preserve"> or </w:t>
      </w:r>
      <w:r w:rsidRPr="0055444E">
        <w:rPr>
          <w:lang w:val="en-US"/>
        </w:rPr>
        <w:t>positive cash flows attributable to climate risks</w:t>
      </w:r>
      <w:r w:rsidR="00642A31">
        <w:rPr>
          <w:lang w:val="en-US"/>
        </w:rPr>
        <w:t xml:space="preserve"> or </w:t>
      </w:r>
      <w:r w:rsidRPr="0055444E">
        <w:rPr>
          <w:lang w:val="en-US"/>
        </w:rPr>
        <w:t xml:space="preserve">opportunities in </w:t>
      </w:r>
      <w:r w:rsidR="00642A31">
        <w:rPr>
          <w:lang w:val="en-US"/>
        </w:rPr>
        <w:t xml:space="preserve">the </w:t>
      </w:r>
      <w:r w:rsidRPr="0055444E">
        <w:rPr>
          <w:lang w:val="en-US"/>
        </w:rPr>
        <w:t>selected scenario</w:t>
      </w:r>
      <w:r w:rsidR="00642A31">
        <w:rPr>
          <w:lang w:val="en-US"/>
        </w:rPr>
        <w:t>:</w:t>
      </w:r>
      <w:r w:rsidRPr="0055444E">
        <w:rPr>
          <w:lang w:val="en-US"/>
        </w:rPr>
        <w:t xml:space="preserve"> </w:t>
      </w:r>
    </w:p>
    <w:p w14:paraId="75CF4ECA" w14:textId="5F4B5023" w:rsidR="00600E34" w:rsidRPr="0055444E" w:rsidRDefault="00600E34" w:rsidP="00600E34">
      <w:pPr>
        <w:numPr>
          <w:ilvl w:val="1"/>
          <w:numId w:val="3"/>
        </w:numPr>
      </w:pPr>
      <w:r w:rsidRPr="0055444E">
        <w:rPr>
          <w:lang w:val="en-US"/>
        </w:rPr>
        <w:t>Physical risks can result in repair costs from extreme weather events, insurance premiums</w:t>
      </w:r>
      <w:r w:rsidR="00642A31">
        <w:rPr>
          <w:lang w:val="en-US"/>
        </w:rPr>
        <w:t xml:space="preserve"> and</w:t>
      </w:r>
      <w:r w:rsidRPr="0055444E">
        <w:rPr>
          <w:lang w:val="en-US"/>
        </w:rPr>
        <w:t xml:space="preserve"> productivity loss</w:t>
      </w:r>
    </w:p>
    <w:p w14:paraId="2D0E985D" w14:textId="674E2C39" w:rsidR="00600E34" w:rsidRPr="0055444E" w:rsidRDefault="00600E34" w:rsidP="00600E34">
      <w:pPr>
        <w:numPr>
          <w:ilvl w:val="1"/>
          <w:numId w:val="3"/>
        </w:numPr>
      </w:pPr>
      <w:r w:rsidRPr="0055444E">
        <w:rPr>
          <w:lang w:val="en-US"/>
        </w:rPr>
        <w:t>Transition risks could result in carbon pricing, lost sales from technological disruption</w:t>
      </w:r>
      <w:r w:rsidR="00642A31">
        <w:rPr>
          <w:lang w:val="en-US"/>
        </w:rPr>
        <w:t xml:space="preserve"> or </w:t>
      </w:r>
      <w:r w:rsidRPr="0055444E">
        <w:rPr>
          <w:lang w:val="en-US"/>
        </w:rPr>
        <w:t>substitution, regulatory penalties or legal costs</w:t>
      </w:r>
      <w:r w:rsidR="00642A31">
        <w:rPr>
          <w:lang w:val="en-US"/>
        </w:rPr>
        <w:t>.</w:t>
      </w:r>
    </w:p>
    <w:p w14:paraId="23F800BA" w14:textId="498F7F02" w:rsidR="00600E34" w:rsidRPr="0055444E" w:rsidRDefault="00600E34" w:rsidP="00600E34">
      <w:pPr>
        <w:numPr>
          <w:ilvl w:val="0"/>
          <w:numId w:val="3"/>
        </w:numPr>
      </w:pPr>
      <w:r w:rsidRPr="0055444E">
        <w:rPr>
          <w:lang w:val="en-US"/>
        </w:rPr>
        <w:t>Apply a suitable discount rate to each annual cashflow</w:t>
      </w:r>
      <w:r w:rsidR="00642A31">
        <w:rPr>
          <w:lang w:val="en-US"/>
        </w:rPr>
        <w:t xml:space="preserve">: </w:t>
      </w:r>
      <w:r w:rsidRPr="0055444E">
        <w:rPr>
          <w:lang w:val="en-US"/>
        </w:rPr>
        <w:br/>
      </w:r>
      <m:oMathPara>
        <m:oMathParaPr>
          <m:jc m:val="centerGroup"/>
        </m:oMathParaPr>
        <m:oMath>
          <m:r>
            <m:rPr>
              <m:sty m:val="p"/>
            </m:rPr>
            <w:rPr>
              <w:rFonts w:ascii="Cambria Math" w:hAnsi="Cambria Math"/>
              <w:lang w:val="en-US"/>
            </w:rPr>
            <m:t>PV= </m:t>
          </m:r>
          <m:nary>
            <m:naryPr>
              <m:chr m:val="∑"/>
              <m:ctrlPr>
                <w:rPr>
                  <w:rFonts w:ascii="Cambria Math" w:hAnsi="Cambria Math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∆CFt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1+r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  <w:lang w:val="en-US"/>
                    </w:rPr>
                    <m:t>t</m:t>
                  </m:r>
                </m:den>
              </m:f>
            </m:e>
          </m:nary>
          <m:r>
            <m:rPr>
              <m:sty m:val="p"/>
            </m:rPr>
            <w:rPr>
              <w:lang w:val="en-US"/>
            </w:rPr>
            <w:br/>
          </m:r>
        </m:oMath>
      </m:oMathPara>
      <w:r w:rsidRPr="0055444E">
        <w:rPr>
          <w:lang w:val="en-US"/>
        </w:rPr>
        <w:t>where:</w:t>
      </w:r>
      <w:r w:rsidRPr="0055444E">
        <w:rPr>
          <w:lang w:val="en-US"/>
        </w:rPr>
        <w:br/>
      </w:r>
      <m:oMath>
        <m:r>
          <m:rPr>
            <m:sty m:val="p"/>
          </m:rPr>
          <w:rPr>
            <w:rFonts w:ascii="Cambria Math" w:hAnsi="Cambria Math"/>
            <w:lang w:val="en-US"/>
          </w:rPr>
          <m:t>∆CFt</m:t>
        </m:r>
      </m:oMath>
      <w:r w:rsidRPr="0055444E">
        <w:rPr>
          <w:lang w:val="en-US"/>
        </w:rPr>
        <w:t xml:space="preserve"> is the incremental climate-driven cash flow in year t, r is discount rate and N is the time horizon (typically 10-20 years)</w:t>
      </w:r>
      <w:r w:rsidR="00642A31">
        <w:rPr>
          <w:lang w:val="en-US"/>
        </w:rPr>
        <w:t>.</w:t>
      </w:r>
    </w:p>
    <w:p w14:paraId="7C40AA58" w14:textId="52A8D872" w:rsidR="00600E34" w:rsidRPr="0055444E" w:rsidRDefault="00600E34" w:rsidP="00600E34">
      <w:pPr>
        <w:numPr>
          <w:ilvl w:val="0"/>
          <w:numId w:val="3"/>
        </w:numPr>
      </w:pPr>
      <w:r w:rsidRPr="0055444E">
        <w:rPr>
          <w:lang w:val="en-US"/>
        </w:rPr>
        <w:t xml:space="preserve">Subtract </w:t>
      </w:r>
      <w:proofErr w:type="spellStart"/>
      <w:r w:rsidRPr="0055444E">
        <w:rPr>
          <w:lang w:val="en-US"/>
        </w:rPr>
        <w:t>PV</w:t>
      </w:r>
      <w:r w:rsidRPr="0055444E">
        <w:rPr>
          <w:vertAlign w:val="subscript"/>
          <w:lang w:val="en-US"/>
        </w:rPr>
        <w:t>scenario</w:t>
      </w:r>
      <w:proofErr w:type="spellEnd"/>
      <w:r w:rsidRPr="0055444E">
        <w:rPr>
          <w:lang w:val="en-US"/>
        </w:rPr>
        <w:t xml:space="preserve"> – PV</w:t>
      </w:r>
      <w:r w:rsidRPr="0055444E">
        <w:rPr>
          <w:vertAlign w:val="subscript"/>
          <w:lang w:val="en-US"/>
        </w:rPr>
        <w:t xml:space="preserve">BAU </w:t>
      </w:r>
      <w:r w:rsidRPr="0055444E">
        <w:rPr>
          <w:lang w:val="en-US"/>
        </w:rPr>
        <w:t>to get the proportional change in value due to climate impacts, which becomes the numerator</w:t>
      </w:r>
      <w:r w:rsidR="00642A31">
        <w:rPr>
          <w:lang w:val="en-US"/>
        </w:rPr>
        <w:t>.</w:t>
      </w:r>
    </w:p>
    <w:p w14:paraId="57D3FCCF" w14:textId="29BE7F4C" w:rsidR="00175A5C" w:rsidRDefault="00175A5C">
      <w:pPr>
        <w:autoSpaceDN/>
        <w:spacing w:after="160" w:line="278" w:lineRule="auto"/>
        <w:textAlignment w:val="auto"/>
      </w:pPr>
      <w:r>
        <w:br w:type="page"/>
      </w:r>
    </w:p>
    <w:p w14:paraId="7A96815D" w14:textId="77777777" w:rsidR="00600E34" w:rsidRPr="008B5D85" w:rsidRDefault="00600E34" w:rsidP="00600E34">
      <w:r>
        <w:lastRenderedPageBreak/>
        <w:t>In Excel, assuming the following setup of data fields:</w:t>
      </w:r>
    </w:p>
    <w:tbl>
      <w:tblPr>
        <w:tblStyle w:val="ListTable4-Accent1"/>
        <w:tblW w:w="0" w:type="auto"/>
        <w:tblLook w:val="04A0" w:firstRow="1" w:lastRow="0" w:firstColumn="1" w:lastColumn="0" w:noHBand="0" w:noVBand="1"/>
      </w:tblPr>
      <w:tblGrid>
        <w:gridCol w:w="589"/>
        <w:gridCol w:w="2800"/>
        <w:gridCol w:w="1941"/>
        <w:gridCol w:w="1668"/>
      </w:tblGrid>
      <w:tr w:rsidR="00600E34" w:rsidRPr="0007651D" w14:paraId="5154B146" w14:textId="77777777" w:rsidTr="00DA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EDC9C3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jc w:val="center"/>
              <w:textAlignment w:val="auto"/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  <w:t>r (t)</w:t>
            </w:r>
          </w:p>
        </w:tc>
        <w:tc>
          <w:tcPr>
            <w:tcW w:w="0" w:type="auto"/>
            <w:hideMark/>
          </w:tcPr>
          <w:p w14:paraId="0F623D25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  <w:t>ΔCF (incremental cash flow)</w:t>
            </w:r>
          </w:p>
        </w:tc>
        <w:tc>
          <w:tcPr>
            <w:tcW w:w="0" w:type="auto"/>
            <w:hideMark/>
          </w:tcPr>
          <w:p w14:paraId="46D07F4B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  <w:t>Discount Factor</w:t>
            </w:r>
          </w:p>
        </w:tc>
        <w:tc>
          <w:tcPr>
            <w:tcW w:w="0" w:type="auto"/>
            <w:hideMark/>
          </w:tcPr>
          <w:p w14:paraId="47B04BB1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color w:val="FFFFFF" w:themeColor="background2"/>
                <w:sz w:val="20"/>
                <w:szCs w:val="20"/>
                <w:lang w:eastAsia="en-GB"/>
              </w:rPr>
              <w:t>Discounted ΔCF</w:t>
            </w:r>
          </w:p>
        </w:tc>
      </w:tr>
      <w:tr w:rsidR="00600E34" w:rsidRPr="0007651D" w14:paraId="0CB4F8B2" w14:textId="77777777" w:rsidTr="00DA2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219A74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hideMark/>
          </w:tcPr>
          <w:p w14:paraId="592F2DAE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in cell B2</w:t>
            </w:r>
          </w:p>
        </w:tc>
        <w:tc>
          <w:tcPr>
            <w:tcW w:w="0" w:type="auto"/>
            <w:hideMark/>
          </w:tcPr>
          <w:p w14:paraId="01F84860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=1/(1+$r$)^A2</w:t>
            </w:r>
          </w:p>
        </w:tc>
        <w:tc>
          <w:tcPr>
            <w:tcW w:w="0" w:type="auto"/>
            <w:hideMark/>
          </w:tcPr>
          <w:p w14:paraId="2CFD4E63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=B2*C2</w:t>
            </w:r>
          </w:p>
        </w:tc>
      </w:tr>
      <w:tr w:rsidR="00600E34" w:rsidRPr="0007651D" w14:paraId="46342672" w14:textId="77777777" w:rsidTr="00DA2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B58F25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hideMark/>
          </w:tcPr>
          <w:p w14:paraId="7141470B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in cell B3</w:t>
            </w:r>
          </w:p>
        </w:tc>
        <w:tc>
          <w:tcPr>
            <w:tcW w:w="0" w:type="auto"/>
            <w:hideMark/>
          </w:tcPr>
          <w:p w14:paraId="704F7192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=1/(1+$r$)^A3</w:t>
            </w:r>
          </w:p>
        </w:tc>
        <w:tc>
          <w:tcPr>
            <w:tcW w:w="0" w:type="auto"/>
            <w:hideMark/>
          </w:tcPr>
          <w:p w14:paraId="32C4E28E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=B3*C3</w:t>
            </w:r>
          </w:p>
        </w:tc>
      </w:tr>
      <w:tr w:rsidR="00600E34" w:rsidRPr="0007651D" w14:paraId="1897D730" w14:textId="77777777" w:rsidTr="00DA2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B3BA7B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…</w:t>
            </w:r>
          </w:p>
        </w:tc>
        <w:tc>
          <w:tcPr>
            <w:tcW w:w="0" w:type="auto"/>
            <w:hideMark/>
          </w:tcPr>
          <w:p w14:paraId="5F05DD12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…</w:t>
            </w:r>
          </w:p>
        </w:tc>
        <w:tc>
          <w:tcPr>
            <w:tcW w:w="0" w:type="auto"/>
            <w:hideMark/>
          </w:tcPr>
          <w:p w14:paraId="7EFED3F3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…</w:t>
            </w:r>
          </w:p>
        </w:tc>
        <w:tc>
          <w:tcPr>
            <w:tcW w:w="0" w:type="auto"/>
            <w:hideMark/>
          </w:tcPr>
          <w:p w14:paraId="11161E5F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…</w:t>
            </w:r>
          </w:p>
        </w:tc>
      </w:tr>
      <w:tr w:rsidR="00600E34" w:rsidRPr="0007651D" w14:paraId="586D0ABB" w14:textId="77777777" w:rsidTr="00DA20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271A84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0" w:type="auto"/>
            <w:hideMark/>
          </w:tcPr>
          <w:p w14:paraId="3B30F7C5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in cell B(N+1)</w:t>
            </w:r>
          </w:p>
        </w:tc>
        <w:tc>
          <w:tcPr>
            <w:tcW w:w="0" w:type="auto"/>
            <w:hideMark/>
          </w:tcPr>
          <w:p w14:paraId="609E14C9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=1/(1+$r$)^A(N+1)</w:t>
            </w:r>
          </w:p>
        </w:tc>
        <w:tc>
          <w:tcPr>
            <w:tcW w:w="0" w:type="auto"/>
            <w:hideMark/>
          </w:tcPr>
          <w:p w14:paraId="2B904327" w14:textId="77777777" w:rsidR="00600E34" w:rsidRPr="0007651D" w:rsidRDefault="00600E34" w:rsidP="00DA206D">
            <w:pPr>
              <w:autoSpaceDN/>
              <w:spacing w:before="100" w:beforeAutospacing="1" w:after="100" w:afterAutospacing="1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  <w:r w:rsidRPr="0007651D"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  <w:t>=B(N+1)*C(N+1)</w:t>
            </w:r>
          </w:p>
        </w:tc>
      </w:tr>
    </w:tbl>
    <w:p w14:paraId="6A41806C" w14:textId="77777777" w:rsidR="00600E34" w:rsidRDefault="00600E34" w:rsidP="00600E34"/>
    <w:p w14:paraId="6DE89CED" w14:textId="77777777" w:rsidR="00600E34" w:rsidRDefault="00600E34" w:rsidP="00600E34">
      <w:r>
        <w:t>where:</w:t>
      </w:r>
    </w:p>
    <w:p w14:paraId="0FD92D4E" w14:textId="77777777" w:rsidR="00600E34" w:rsidRPr="00D71465" w:rsidRDefault="00600E34" w:rsidP="00600E34">
      <w:pPr>
        <w:pStyle w:val="ListParagraph"/>
        <w:numPr>
          <w:ilvl w:val="0"/>
          <w:numId w:val="4"/>
        </w:numPr>
        <w:rPr>
          <w:i/>
          <w:iCs/>
        </w:rPr>
      </w:pPr>
      <w:r w:rsidRPr="00D71465">
        <w:rPr>
          <w:i/>
          <w:iCs/>
        </w:rPr>
        <w:t>Column A = Year (1…N)</w:t>
      </w:r>
    </w:p>
    <w:p w14:paraId="19ABD0E5" w14:textId="77777777" w:rsidR="00600E34" w:rsidRPr="00D71465" w:rsidRDefault="00600E34" w:rsidP="00600E34">
      <w:pPr>
        <w:pStyle w:val="ListParagraph"/>
        <w:numPr>
          <w:ilvl w:val="0"/>
          <w:numId w:val="4"/>
        </w:numPr>
        <w:rPr>
          <w:i/>
          <w:iCs/>
        </w:rPr>
      </w:pPr>
      <w:r w:rsidRPr="00D71465">
        <w:rPr>
          <w:i/>
          <w:iCs/>
        </w:rPr>
        <w:t>Column B = ΔCF_t (incremental climate-driven cash flows vs BAU baseline)</w:t>
      </w:r>
    </w:p>
    <w:p w14:paraId="6F79A693" w14:textId="77777777" w:rsidR="00600E34" w:rsidRPr="00D71465" w:rsidRDefault="00600E34" w:rsidP="00600E34">
      <w:pPr>
        <w:pStyle w:val="ListParagraph"/>
        <w:numPr>
          <w:ilvl w:val="0"/>
          <w:numId w:val="4"/>
        </w:numPr>
        <w:rPr>
          <w:i/>
          <w:iCs/>
        </w:rPr>
      </w:pPr>
      <w:r w:rsidRPr="00D71465">
        <w:rPr>
          <w:i/>
          <w:iCs/>
        </w:rPr>
        <w:t>Cell for discount rate = r (say in E1)</w:t>
      </w:r>
    </w:p>
    <w:p w14:paraId="28F836E3" w14:textId="77777777" w:rsidR="00600E34" w:rsidRPr="00D71465" w:rsidRDefault="00600E34" w:rsidP="00600E34">
      <w:pPr>
        <w:pStyle w:val="ListParagraph"/>
        <w:numPr>
          <w:ilvl w:val="0"/>
          <w:numId w:val="4"/>
        </w:numPr>
        <w:rPr>
          <w:i/>
          <w:iCs/>
        </w:rPr>
      </w:pPr>
      <w:r w:rsidRPr="00D71465">
        <w:rPr>
          <w:i/>
          <w:iCs/>
        </w:rPr>
        <w:t>Column C = discount factor = =1/(1+$E$1)^A2</w:t>
      </w:r>
    </w:p>
    <w:p w14:paraId="555E6214" w14:textId="77777777" w:rsidR="00600E34" w:rsidRDefault="00600E34" w:rsidP="00600E34">
      <w:pPr>
        <w:pStyle w:val="ListParagraph"/>
        <w:numPr>
          <w:ilvl w:val="0"/>
          <w:numId w:val="4"/>
        </w:numPr>
        <w:rPr>
          <w:i/>
          <w:iCs/>
        </w:rPr>
      </w:pPr>
      <w:r w:rsidRPr="00D71465">
        <w:rPr>
          <w:i/>
          <w:iCs/>
        </w:rPr>
        <w:t>Column D = discounted ΔCF = =B2*C2</w:t>
      </w:r>
    </w:p>
    <w:p w14:paraId="20E57B46" w14:textId="77777777" w:rsidR="00600E34" w:rsidRDefault="00600E34" w:rsidP="00600E34">
      <w:pPr>
        <w:rPr>
          <w:i/>
          <w:iCs/>
        </w:rPr>
      </w:pPr>
    </w:p>
    <w:p w14:paraId="1EB6F663" w14:textId="77777777" w:rsidR="00600E34" w:rsidRDefault="00600E34" w:rsidP="00600E34">
      <w:r>
        <w:t xml:space="preserve">Then, the PV of scenario impact would be calculated as: </w:t>
      </w:r>
      <w:r w:rsidRPr="00AB0E80">
        <w:rPr>
          <w:highlight w:val="lightGray"/>
        </w:rPr>
        <w:t>=SUM(D2:D(N+1))</w:t>
      </w:r>
    </w:p>
    <w:p w14:paraId="6C16F227" w14:textId="77777777" w:rsidR="00600E34" w:rsidRDefault="00600E34" w:rsidP="00600E34">
      <w:r>
        <w:t xml:space="preserve">And therefore CVaR (assuming value of EV is in cell E2 for this example): </w:t>
      </w:r>
      <w:r w:rsidRPr="00AB0E80">
        <w:rPr>
          <w:highlight w:val="lightGray"/>
        </w:rPr>
        <w:t>=SUM(D2:D(N+1)) / E2</w:t>
      </w:r>
    </w:p>
    <w:p w14:paraId="4754B93B" w14:textId="77777777" w:rsidR="00600E34" w:rsidRDefault="00600E34" w:rsidP="00600E34"/>
    <w:p w14:paraId="1852D80A" w14:textId="77777777" w:rsidR="00600E34" w:rsidRPr="00D71465" w:rsidRDefault="00600E34" w:rsidP="00600E34">
      <w:r>
        <w:t xml:space="preserve">Assuming </w:t>
      </w:r>
      <w:r w:rsidRPr="00B326E1">
        <w:t>ΔCFs are in B2:BN, years in A2:AN, discount rate in E1, and EV in E2, then</w:t>
      </w:r>
      <w:r>
        <w:t xml:space="preserve"> the CvaR formula in one line would be</w:t>
      </w:r>
      <w:r w:rsidRPr="00B326E1">
        <w:t>:</w:t>
      </w:r>
      <w:r>
        <w:t xml:space="preserve"> </w:t>
      </w:r>
      <w:r w:rsidRPr="00AB0E80">
        <w:rPr>
          <w:highlight w:val="lightGray"/>
        </w:rPr>
        <w:t>=SUMPRODUCT(B2:BN, 1/(1+$E$1)^A2:AN) / E2</w:t>
      </w:r>
      <w:r>
        <w:t xml:space="preserve"> </w:t>
      </w:r>
    </w:p>
    <w:p w14:paraId="1071EE93" w14:textId="77777777" w:rsidR="009332F8" w:rsidRPr="00600E34" w:rsidRDefault="009332F8"/>
    <w:sectPr w:rsidR="009332F8" w:rsidRPr="00600E34" w:rsidSect="00600E34">
      <w:footerReference w:type="default" r:id="rId11"/>
      <w:headerReference w:type="first" r:id="rId12"/>
      <w:footerReference w:type="first" r:id="rId13"/>
      <w:pgSz w:w="11906" w:h="16838"/>
      <w:pgMar w:top="1560" w:right="907" w:bottom="1702" w:left="907" w:header="765" w:footer="28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099C" w14:textId="77777777" w:rsidR="006F5068" w:rsidRDefault="006F5068">
      <w:pPr>
        <w:spacing w:line="240" w:lineRule="auto"/>
      </w:pPr>
      <w:r>
        <w:separator/>
      </w:r>
    </w:p>
  </w:endnote>
  <w:endnote w:type="continuationSeparator" w:id="0">
    <w:p w14:paraId="25C9B15A" w14:textId="77777777" w:rsidR="006F5068" w:rsidRDefault="006F50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B5AD" w14:textId="77777777" w:rsidR="00600E34" w:rsidRPr="00C87F8A" w:rsidRDefault="00600E34" w:rsidP="00C87F8A">
    <w:pPr>
      <w:pStyle w:val="Footer"/>
      <w:spacing w:after="384"/>
    </w:pPr>
    <w:r>
      <w:rPr>
        <w:szCs w:val="20"/>
      </w:rPr>
      <w:br/>
      <w:t xml:space="preserve"> </w:t>
    </w:r>
    <w:r>
      <w:rPr>
        <w:szCs w:val="20"/>
      </w:rPr>
      <w:br/>
      <w:t xml:space="preserve"> </w:t>
    </w:r>
    <w:r>
      <w:rPr>
        <w:b/>
        <w:bCs/>
        <w:szCs w:val="20"/>
      </w:rPr>
      <w:t xml:space="preserve">        </w:t>
    </w:r>
    <w:r>
      <w:rPr>
        <w:b/>
        <w:bCs/>
        <w:szCs w:val="20"/>
      </w:rPr>
      <w:tab/>
    </w:r>
    <w:r>
      <w:rPr>
        <w:b/>
        <w:bCs/>
        <w:szCs w:val="20"/>
      </w:rPr>
      <w:tab/>
      <w:t xml:space="preserve"> </w:t>
    </w:r>
    <w:r w:rsidRPr="002A5A21">
      <w:rPr>
        <w:szCs w:val="20"/>
      </w:rPr>
      <w:t xml:space="preserve">Page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PAGE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1</w:t>
    </w:r>
    <w:r w:rsidRPr="002A5A21">
      <w:rPr>
        <w:b/>
        <w:bCs/>
        <w:szCs w:val="20"/>
      </w:rPr>
      <w:fldChar w:fldCharType="end"/>
    </w:r>
    <w:r w:rsidRPr="002A5A21">
      <w:rPr>
        <w:szCs w:val="20"/>
      </w:rPr>
      <w:t xml:space="preserve"> of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NUMPAGES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2</w:t>
    </w:r>
    <w:r w:rsidRPr="002A5A21">
      <w:rPr>
        <w:b/>
        <w:bCs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18DD" w14:textId="77777777" w:rsidR="00600E34" w:rsidRDefault="00600E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 xml:space="preserve">British International Investment </w:t>
    </w:r>
    <w:r>
      <w:rPr>
        <w:sz w:val="18"/>
        <w:szCs w:val="18"/>
      </w:rPr>
      <w:t>plc</w:t>
    </w:r>
    <w:r w:rsidRPr="00A67F1C">
      <w:rPr>
        <w:sz w:val="18"/>
        <w:szCs w:val="18"/>
      </w:rPr>
      <w:t xml:space="preserve"> </w:t>
    </w:r>
    <w:r>
      <w:rPr>
        <w:sz w:val="18"/>
        <w:szCs w:val="18"/>
      </w:rPr>
      <w:t xml:space="preserve">is authorised and </w:t>
    </w:r>
    <w:r w:rsidRPr="00A67F1C">
      <w:rPr>
        <w:sz w:val="18"/>
        <w:szCs w:val="18"/>
      </w:rPr>
      <w:t xml:space="preserve">regulated by the Financial Conduct Authority.  </w:t>
    </w:r>
  </w:p>
  <w:p w14:paraId="59B29287" w14:textId="77777777" w:rsidR="00600E34" w:rsidRPr="00A67F1C" w:rsidRDefault="00600E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>Registered in England No. 3877777.</w:t>
    </w:r>
    <w:r w:rsidRPr="00A67F1C">
      <w:rPr>
        <w:sz w:val="18"/>
        <w:szCs w:val="18"/>
      </w:rPr>
      <w:br/>
      <w:t xml:space="preserve">Registered address: 123 Victoria Street, London, SW1E 6DE, UK.                                                                                  </w:t>
    </w:r>
    <w:r w:rsidRPr="00A67F1C">
      <w:rPr>
        <w:sz w:val="18"/>
        <w:szCs w:val="18"/>
      </w:rPr>
      <w:br/>
      <w:t>+44 20 7963 4700           bii.co.uk</w:t>
    </w: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2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9A31" w14:textId="77777777" w:rsidR="006F5068" w:rsidRDefault="006F5068">
      <w:pPr>
        <w:spacing w:line="240" w:lineRule="auto"/>
      </w:pPr>
      <w:r>
        <w:separator/>
      </w:r>
    </w:p>
  </w:footnote>
  <w:footnote w:type="continuationSeparator" w:id="0">
    <w:p w14:paraId="5F206813" w14:textId="77777777" w:rsidR="006F5068" w:rsidRDefault="006F50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E471" w14:textId="77777777" w:rsidR="00600E34" w:rsidRDefault="00600E34" w:rsidP="00D213DB">
    <w:pPr>
      <w:spacing w:after="384"/>
      <w:ind w:left="-1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FBC7BB" wp14:editId="112A53C3">
          <wp:simplePos x="0" y="0"/>
          <wp:positionH relativeFrom="column">
            <wp:posOffset>-50165</wp:posOffset>
          </wp:positionH>
          <wp:positionV relativeFrom="paragraph">
            <wp:posOffset>-180975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089FBC" w14:textId="77777777" w:rsidR="00600E34" w:rsidRDefault="00600E34">
    <w:pPr>
      <w:spacing w:after="38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224"/>
    <w:multiLevelType w:val="hybridMultilevel"/>
    <w:tmpl w:val="0B901314"/>
    <w:lvl w:ilvl="0" w:tplc="FFFFFFFF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305AD"/>
    <w:multiLevelType w:val="hybridMultilevel"/>
    <w:tmpl w:val="B87AC2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26CDF"/>
    <w:multiLevelType w:val="hybridMultilevel"/>
    <w:tmpl w:val="F0800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876DE"/>
    <w:multiLevelType w:val="hybridMultilevel"/>
    <w:tmpl w:val="ED14B8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506536">
    <w:abstractNumId w:val="0"/>
  </w:num>
  <w:num w:numId="2" w16cid:durableId="1055667187">
    <w:abstractNumId w:val="1"/>
  </w:num>
  <w:num w:numId="3" w16cid:durableId="500389057">
    <w:abstractNumId w:val="3"/>
  </w:num>
  <w:num w:numId="4" w16cid:durableId="1431123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34"/>
    <w:rsid w:val="00112E5E"/>
    <w:rsid w:val="00175A5C"/>
    <w:rsid w:val="003860D0"/>
    <w:rsid w:val="00410ED4"/>
    <w:rsid w:val="004D48EA"/>
    <w:rsid w:val="004F5831"/>
    <w:rsid w:val="00525EFD"/>
    <w:rsid w:val="005B310A"/>
    <w:rsid w:val="005E210A"/>
    <w:rsid w:val="00600E34"/>
    <w:rsid w:val="00642A31"/>
    <w:rsid w:val="006A3412"/>
    <w:rsid w:val="006F5068"/>
    <w:rsid w:val="00875219"/>
    <w:rsid w:val="009332F8"/>
    <w:rsid w:val="00B66F8D"/>
    <w:rsid w:val="00BB42A6"/>
    <w:rsid w:val="00CF64BA"/>
    <w:rsid w:val="00EB0286"/>
    <w:rsid w:val="00F44567"/>
    <w:rsid w:val="00F9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B6C32"/>
  <w15:chartTrackingRefBased/>
  <w15:docId w15:val="{69A29E50-D8B8-B44B-BE40-ABC21DA9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E34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0E34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E34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E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E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E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E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E34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E34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0E34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E34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E34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E34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E34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E34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E34"/>
    <w:rPr>
      <w:b/>
      <w:bCs/>
      <w:smallCaps/>
      <w:color w:val="000000" w:themeColor="accent1" w:themeShade="BF"/>
      <w:spacing w:val="5"/>
    </w:rPr>
  </w:style>
  <w:style w:type="paragraph" w:styleId="Footer">
    <w:name w:val="footer"/>
    <w:link w:val="FooterChar"/>
    <w:uiPriority w:val="99"/>
    <w:rsid w:val="00600E34"/>
    <w:pPr>
      <w:tabs>
        <w:tab w:val="right" w:pos="7371"/>
      </w:tabs>
      <w:suppressAutoHyphens/>
      <w:autoSpaceDN w:val="0"/>
      <w:spacing w:after="0" w:line="240" w:lineRule="atLeast"/>
      <w:textAlignment w:val="baseline"/>
    </w:pPr>
    <w:rPr>
      <w:rFonts w:asciiTheme="majorHAnsi" w:eastAsia="Georgia" w:hAnsiTheme="majorHAnsi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00E34"/>
    <w:rPr>
      <w:rFonts w:asciiTheme="majorHAnsi" w:eastAsia="Georgia" w:hAnsiTheme="majorHAnsi" w:cs="Times New Roman"/>
      <w:kern w:val="0"/>
      <w:sz w:val="20"/>
      <w:lang w:val="en-GB"/>
      <w14:ligatures w14:val="none"/>
    </w:rPr>
  </w:style>
  <w:style w:type="table" w:styleId="ListTable4-Accent1">
    <w:name w:val="List Table 4 Accent 1"/>
    <w:basedOn w:val="TableNormal"/>
    <w:uiPriority w:val="49"/>
    <w:rsid w:val="00600E34"/>
    <w:pPr>
      <w:autoSpaceDN w:val="0"/>
      <w:spacing w:after="0" w:line="240" w:lineRule="auto"/>
      <w:textAlignment w:val="baseline"/>
    </w:pPr>
    <w:rPr>
      <w:rFonts w:ascii="Georgia" w:eastAsia="Georgia" w:hAnsi="Georgia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</w:tblBorders>
    </w:tblPr>
    <w:tblStylePr w:type="firstRow">
      <w:rPr>
        <w:b/>
        <w:bCs/>
        <w:color w:val="EF7D00" w:themeColor="background1"/>
      </w:rPr>
      <w:tblPr/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1" w:themeFillTint="33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paragraph" w:styleId="Revision">
    <w:name w:val="Revision"/>
    <w:hidden/>
    <w:uiPriority w:val="99"/>
    <w:semiHidden/>
    <w:rsid w:val="005E210A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5800705-6cab-460c-b450-fee685b6c533" ContentTypeId="0x0101" PreviousValue="false"/>
</file>

<file path=customXml/itemProps1.xml><?xml version="1.0" encoding="utf-8"?>
<ds:datastoreItem xmlns:ds="http://schemas.openxmlformats.org/officeDocument/2006/customXml" ds:itemID="{ADD8D406-17DB-49BD-B853-ADAB6E8CFC1F}">
  <ds:schemaRefs>
    <ds:schemaRef ds:uri="http://www.w3.org/XML/1998/namespace"/>
    <ds:schemaRef ds:uri="1931f4e8-2f40-4384-a90e-574fbe220c6b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870cb497-4044-4cf2-90cc-f4ae0dbc3665"/>
  </ds:schemaRefs>
</ds:datastoreItem>
</file>

<file path=customXml/itemProps2.xml><?xml version="1.0" encoding="utf-8"?>
<ds:datastoreItem xmlns:ds="http://schemas.openxmlformats.org/officeDocument/2006/customXml" ds:itemID="{16082BCF-2C82-4D0E-937F-632688C20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563B5F-DEEA-44D2-8DC6-FC47B5922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96DB21-A742-4AD1-AA17-0906CD6A9A2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590</Words>
  <Characters>3320</Characters>
  <Application>Microsoft Office Word</Application>
  <DocSecurity>0</DocSecurity>
  <Lines>87</Lines>
  <Paragraphs>59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19</cp:revision>
  <dcterms:created xsi:type="dcterms:W3CDTF">2025-08-24T14:46:00Z</dcterms:created>
  <dcterms:modified xsi:type="dcterms:W3CDTF">2025-11-01T15:41:00Z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DCRelateTo">
    <vt:lpwstr>33;#Environmental and Social Responsibility|33ad2915-8861-4337-ac5a-5f7bdfeb2377</vt:lpwstr>
  </property>
  <property fmtid="{D5CDD505-2E9C-101B-9397-08002B2CF9AE}" pid="6" name="CDCDocumentType">
    <vt:lpwstr/>
  </property>
</Properties>
</file>